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9"/>
        <w:gridCol w:w="664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Times New Roman" w:hAnsi="Times New Roman"/>
                <w:b/>
                <w:bCs w:val="0"/>
                <w:sz w:val="28"/>
                <w:szCs w:val="28"/>
                <w:lang w:val="en-US" w:eastAsia="zh-CN"/>
              </w:rPr>
              <w:t>公共事业管理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7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66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培养目标需要凝练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，专业定位还需再斟酌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整个培养方案课程设置，特别是专业核心课程对于本专业具体培养方向和特色支撑不足，从课程设置上难以看出广东海洋大学公共事业管理专业的特色。实际上公共事业管理专业是一个非常宽泛、外延很大的专业，建议首先对本校公共事业管理专业进行一个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准确</w:t>
            </w:r>
            <w:r>
              <w:rPr>
                <w:rFonts w:hint="eastAsia" w:ascii="宋体" w:hAnsi="宋体" w:eastAsia="宋体" w:cs="宋体"/>
                <w:sz w:val="24"/>
              </w:rPr>
              <w:t>定位。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“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</w:rPr>
              <w:t>培养目标（标准）、毕业要求与课程体系关系表</w:t>
            </w:r>
            <w:r>
              <w:rPr>
                <w:rFonts w:hint="eastAsia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”需要梳理、完善。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 w:val="0"/>
                <w:color w:val="000000"/>
                <w:kern w:val="2"/>
                <w:sz w:val="24"/>
                <w:szCs w:val="24"/>
                <w:lang w:val="en-US" w:eastAsia="zh-CN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充分体现专业核心内容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，结合专业实际，减少一般性的描述。注意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逻辑性和递进性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，避免毕业要求之间、指标点之间内涵的重复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避免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毕业要求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课程设置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之间的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剥离。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要将培养方案中每一门课程（含实践环节）列入关系表中，体现每一门课程对培养目标、毕业要求的贡献度，不能用笼统的课程类进行描述，如“2-2 掌握旅游定性定量方法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”，列出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数学类，数学类要用附表中的具体课程来写明。类似情况要进一步梳理。（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关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系表中所列课程不能全面支撑指标点内涵，非常单薄。如“1-2具备良好的职业道德修养”，就只有“思想道德修养与法律基础”一门课程支撑，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类似情况还有，需要再进一步梳理、检查。注意的是，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4"/>
                <w:szCs w:val="24"/>
                <w:lang w:eastAsia="zh-CN"/>
              </w:rPr>
              <w:t>同一门课程可以支撑多个指标点和毕业要求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专业核心课程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需要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调整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</w:rPr>
              <w:t>专业核心课程设置符合教育部（专业标准）要求，基本合理。但对于《社会统计分析软件应用》，建议改为《社会研究方法》。《公共管理学》课程应当改为《公共事业管理学》，与专业对应。虽然，本质上《公共管理学》课程会更好，但应当与教育部专业对接。另外，《公共领导学》建议改为《领导学》，公共领导学不规范。同时培养方案中缺乏思想史方面的课程。建议开设一门《管理思想史》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contextualSpacing/>
              <w:jc w:val="both"/>
              <w:textAlignment w:val="auto"/>
              <w:outlineLvl w:val="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b/>
                <w:bCs w:val="0"/>
                <w:sz w:val="24"/>
              </w:rPr>
              <w:t>部分课程设置、名称等有待优化。</w:t>
            </w:r>
            <w:r>
              <w:rPr>
                <w:rFonts w:hint="eastAsia"/>
                <w:bCs/>
                <w:sz w:val="24"/>
              </w:rPr>
              <w:t>该方案只开设了一门2个学分的《经济学原理》课程，对于经济管理类专业来说，明显不够，建议改为开设《微观经济学》、《宏观经济学》，且需增加学分。</w:t>
            </w:r>
            <w:r>
              <w:rPr>
                <w:bCs/>
                <w:sz w:val="24"/>
              </w:rPr>
              <w:t>《依法行政与行政诉讼》作为一门课程名称不太妥当，建议改为《行政法与行政诉讼法》。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5,。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跨学科基础课和学科专业拓展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/>
              </w:rPr>
              <w:t>课，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建设增加一些课程，</w:t>
            </w:r>
            <w:r>
              <w:rPr>
                <w:rFonts w:hint="eastAsia" w:ascii="宋体" w:hAnsi="宋体" w:eastAsia="宋体" w:cs="宋体"/>
                <w:sz w:val="24"/>
              </w:rPr>
              <w:t>如《公共卫生事业管理》、《社会工作》、其它课程如《市场营销学》、《会计学原理》、《旅游学概论》三门课程属于工商管理类课程，放在该领域有些不恰当。建议开设《战略管理》（或公共部门战略管理）、《管理思想史》、《管理沟通》之类适应面广的课程。也是能力训练且综合类的课程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4"/>
              </w:rPr>
              <w:t>政务礼仪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》内容范围相对较窄，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32学时，过多，建议减少学时。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sz w:val="24"/>
              </w:rPr>
              <w:t>本培养方面在实践教学设置基本合理；建议相关学时还可以增加，总体实践课程较少。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7.</w:t>
            </w:r>
            <w:r>
              <w:rPr>
                <w:rFonts w:hint="eastAsia" w:ascii="宋体" w:hAnsi="宋体"/>
                <w:sz w:val="24"/>
                <w:lang w:eastAsia="zh-CN"/>
              </w:rPr>
              <w:t>建议开设相关创新创业教育专业课程，直接支撑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宋体"/>
                <w:sz w:val="24"/>
                <w:lang w:eastAsia="zh-CN"/>
              </w:rPr>
              <w:t>创新能力的培养，实现创新创业教育与专业教育相结合。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目前专业选修课程较少，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学生选课空间非常小，</w:t>
            </w:r>
            <w:r>
              <w:rPr>
                <w:rFonts w:hint="eastAsia" w:ascii="宋体" w:hAnsi="宋体" w:eastAsia="宋体" w:cs="宋体"/>
                <w:sz w:val="24"/>
              </w:rPr>
              <w:t>建议增加相关选修课程。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当前就业环境变化迅速，学生对个人职业生涯的设计也渐趋多样化，在选修课程设置上，保留更多的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选择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空间，对学生个性化发展是必要的。</w:t>
            </w:r>
            <w:bookmarkStart w:id="0" w:name="_GoBack"/>
            <w:bookmarkEnd w:id="0"/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9.跨学科基础课《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人类行为与社会环境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》，与专业拓展课《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eastAsia="zh-CN"/>
              </w:rPr>
              <w:t>组织行为学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》，内容有一定重复，建议保留1门。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7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10.建议设置2-3门必修性质的涉海类课程，凸显专业的海洋特色。</w:t>
            </w:r>
          </w:p>
        </w:tc>
        <w:tc>
          <w:tcPr>
            <w:tcW w:w="6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另外适当增加设置</w:t>
            </w:r>
            <w:r>
              <w:rPr>
                <w:rFonts w:hint="eastAsia" w:ascii="宋体" w:hAnsi="宋体" w:eastAsia="宋体" w:cs="宋体"/>
                <w:sz w:val="24"/>
              </w:rPr>
              <w:t>海洋管理特色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的课程。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10E3A83"/>
    <w:rsid w:val="07ED2627"/>
    <w:rsid w:val="0C1B4C2C"/>
    <w:rsid w:val="0C245C9C"/>
    <w:rsid w:val="0EA86D90"/>
    <w:rsid w:val="102C0A0F"/>
    <w:rsid w:val="117201E8"/>
    <w:rsid w:val="119909E7"/>
    <w:rsid w:val="12DB5170"/>
    <w:rsid w:val="16C47058"/>
    <w:rsid w:val="17830759"/>
    <w:rsid w:val="1AE61066"/>
    <w:rsid w:val="1BDB6B4F"/>
    <w:rsid w:val="224668AD"/>
    <w:rsid w:val="23C55634"/>
    <w:rsid w:val="26E14A51"/>
    <w:rsid w:val="28A97586"/>
    <w:rsid w:val="2BB96F1F"/>
    <w:rsid w:val="2BE447B2"/>
    <w:rsid w:val="2EF53201"/>
    <w:rsid w:val="2EFC1D06"/>
    <w:rsid w:val="2FA40A26"/>
    <w:rsid w:val="3A13386D"/>
    <w:rsid w:val="3FC10002"/>
    <w:rsid w:val="405C2FAB"/>
    <w:rsid w:val="4200142C"/>
    <w:rsid w:val="45351B7E"/>
    <w:rsid w:val="466E4269"/>
    <w:rsid w:val="467961A3"/>
    <w:rsid w:val="51FE4AD9"/>
    <w:rsid w:val="537A24F9"/>
    <w:rsid w:val="57A530DF"/>
    <w:rsid w:val="581919D7"/>
    <w:rsid w:val="5A8A533A"/>
    <w:rsid w:val="5C3E6532"/>
    <w:rsid w:val="630A4728"/>
    <w:rsid w:val="68796044"/>
    <w:rsid w:val="6E517661"/>
    <w:rsid w:val="712850BB"/>
    <w:rsid w:val="72552A18"/>
    <w:rsid w:val="75E12EAE"/>
    <w:rsid w:val="7790026F"/>
    <w:rsid w:val="77997E4F"/>
    <w:rsid w:val="77C27E57"/>
    <w:rsid w:val="7C4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2017-12-24T14:02:34Z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